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212" w:type="dxa"/>
        <w:tblLook w:val="04A0" w:firstRow="1" w:lastRow="0" w:firstColumn="1" w:lastColumn="0" w:noHBand="0" w:noVBand="1"/>
      </w:tblPr>
      <w:tblGrid>
        <w:gridCol w:w="5553"/>
        <w:gridCol w:w="180"/>
        <w:gridCol w:w="5733"/>
        <w:gridCol w:w="5193"/>
        <w:gridCol w:w="5553"/>
      </w:tblGrid>
      <w:tr w:rsidR="00581A96" w:rsidTr="00DE2D3D">
        <w:trPr>
          <w:gridAfter w:val="2"/>
          <w:wAfter w:w="10746" w:type="dxa"/>
        </w:trPr>
        <w:tc>
          <w:tcPr>
            <w:tcW w:w="11466" w:type="dxa"/>
            <w:gridSpan w:val="3"/>
          </w:tcPr>
          <w:p w:rsidR="00581A96" w:rsidRDefault="00581A96" w:rsidP="00581A96">
            <w:pPr>
              <w:jc w:val="center"/>
            </w:pPr>
            <w:r w:rsidRPr="00D56F0D">
              <w:rPr>
                <w:rFonts w:ascii="Times Unicode" w:hAnsi="Times Unicode"/>
                <w:b/>
                <w:i/>
                <w:lang w:val="hy-AM"/>
              </w:rPr>
              <w:t>Առևտրային /բիզնես/ վարկեր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t>Վարկի արժույթ</w:t>
            </w:r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ԱՄՆ դոլար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գումար</w:t>
            </w:r>
            <w:proofErr w:type="spellEnd"/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1500-15.000 ԱՄՆ դոլար</w:t>
            </w:r>
          </w:p>
          <w:p w:rsidR="00581A96" w:rsidRPr="00D56F0D" w:rsidRDefault="00581A96" w:rsidP="00581A96">
            <w:pPr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/առանձին դեպքում գումարի չափը որոշվում է հաճախորդի և ընկերության փոխհամաձայնությամբ/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անվանական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տոկոսադրույք</w:t>
            </w:r>
            <w:proofErr w:type="spellEnd"/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17</w:t>
            </w:r>
            <w:r w:rsidRPr="00D56F0D">
              <w:rPr>
                <w:rFonts w:ascii="Times Unicode" w:hAnsi="Times Unicode"/>
                <w:sz w:val="20"/>
                <w:szCs w:val="20"/>
              </w:rPr>
              <w:t>%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ժամկետ</w:t>
            </w:r>
            <w:proofErr w:type="spellEnd"/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>
              <w:rPr>
                <w:rFonts w:ascii="Times Unicode" w:hAnsi="Times Unicode"/>
                <w:sz w:val="20"/>
                <w:szCs w:val="20"/>
              </w:rPr>
              <w:t>1-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5 տարի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սպասարկման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վճար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Չկա  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tabs>
                <w:tab w:val="left" w:pos="1496"/>
              </w:tabs>
              <w:rPr>
                <w:rFonts w:ascii="Times Unicode" w:hAnsi="Times Unicode"/>
              </w:rPr>
            </w:pPr>
            <w:r w:rsidRPr="00D56F0D">
              <w:rPr>
                <w:rFonts w:ascii="Times Unicode" w:hAnsi="Times Unicode"/>
                <w:lang w:val="hy-AM"/>
              </w:rPr>
              <w:t>Վարկի տրամադրման վճար</w:t>
            </w:r>
            <w:r w:rsidRPr="00D56F0D">
              <w:rPr>
                <w:rFonts w:ascii="Times Unicode" w:hAnsi="Times Unicode"/>
              </w:rPr>
              <w:tab/>
            </w:r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Չկա 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tabs>
                <w:tab w:val="left" w:pos="1496"/>
              </w:tabs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t>Վարկի հայտի ուսումնասիրության վճար</w:t>
            </w:r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Չկա </w:t>
            </w:r>
          </w:p>
        </w:tc>
      </w:tr>
      <w:tr w:rsid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581A96" w:rsidRPr="00D56F0D" w:rsidRDefault="00581A96" w:rsidP="00581A96">
            <w:pPr>
              <w:tabs>
                <w:tab w:val="left" w:pos="1496"/>
              </w:tabs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t>Գույքի ապահովագրություն</w:t>
            </w:r>
          </w:p>
        </w:tc>
        <w:tc>
          <w:tcPr>
            <w:tcW w:w="5733" w:type="dxa"/>
          </w:tcPr>
          <w:p w:rsidR="00581A96" w:rsidRPr="00D56F0D" w:rsidRDefault="00581A96" w:rsidP="00581A96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Չկա</w:t>
            </w:r>
          </w:p>
        </w:tc>
      </w:tr>
      <w:tr w:rsidR="002954C2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EC62ED" w:rsidRDefault="002954C2" w:rsidP="00B02BAC">
            <w:pPr>
              <w:tabs>
                <w:tab w:val="left" w:pos="1496"/>
              </w:tabs>
              <w:rPr>
                <w:rFonts w:ascii="Times Unicode" w:hAnsi="Times Unicode"/>
              </w:rPr>
            </w:pPr>
            <w:proofErr w:type="spellStart"/>
            <w:r>
              <w:rPr>
                <w:rFonts w:ascii="Times Unicode" w:hAnsi="Times Unicode"/>
              </w:rPr>
              <w:t>Վարկի</w:t>
            </w:r>
            <w:proofErr w:type="spellEnd"/>
            <w:r>
              <w:rPr>
                <w:rFonts w:ascii="Times Unicode" w:hAnsi="Times Unicode"/>
              </w:rPr>
              <w:t xml:space="preserve"> </w:t>
            </w:r>
            <w:proofErr w:type="spellStart"/>
            <w:r>
              <w:rPr>
                <w:rFonts w:ascii="Times Unicode" w:hAnsi="Times Unicode"/>
              </w:rPr>
              <w:t>կանխիկացման</w:t>
            </w:r>
            <w:proofErr w:type="spellEnd"/>
            <w:r>
              <w:rPr>
                <w:rFonts w:ascii="Times Unicode" w:hAnsi="Times Unicode"/>
              </w:rPr>
              <w:t xml:space="preserve"> </w:t>
            </w:r>
            <w:proofErr w:type="spellStart"/>
            <w:r>
              <w:rPr>
                <w:rFonts w:ascii="Times Unicode" w:hAnsi="Times Unicode"/>
              </w:rPr>
              <w:t>վճար</w:t>
            </w:r>
            <w:proofErr w:type="spellEnd"/>
          </w:p>
        </w:tc>
        <w:tc>
          <w:tcPr>
            <w:tcW w:w="5733" w:type="dxa"/>
          </w:tcPr>
          <w:p w:rsidR="002954C2" w:rsidRPr="00EC62ED" w:rsidRDefault="002954C2" w:rsidP="00B02BAC">
            <w:pPr>
              <w:rPr>
                <w:rFonts w:ascii="Times Unicode" w:hAnsi="Times Unicode"/>
                <w:sz w:val="20"/>
                <w:szCs w:val="20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Չկա</w:t>
            </w:r>
            <w:proofErr w:type="spellEnd"/>
          </w:p>
        </w:tc>
      </w:tr>
      <w:tr w:rsidR="002954C2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տոկոսագումարների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հաշվարկման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եղանակ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</w:p>
        </w:tc>
        <w:tc>
          <w:tcPr>
            <w:tcW w:w="5733" w:type="dxa"/>
          </w:tcPr>
          <w:p w:rsidR="002954C2" w:rsidRPr="00D56F0D" w:rsidRDefault="002954C2" w:rsidP="00581A96">
            <w:pPr>
              <w:rPr>
                <w:rFonts w:ascii="Times Unicode" w:hAnsi="Times Unicode"/>
                <w:sz w:val="20"/>
                <w:szCs w:val="20"/>
              </w:rPr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Վարկի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գումարի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նվազող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մնացորդի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նկատմամբ</w:t>
            </w:r>
            <w:proofErr w:type="spellEnd"/>
          </w:p>
        </w:tc>
      </w:tr>
      <w:tr w:rsidR="002954C2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Գրավի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առարկա</w:t>
            </w:r>
            <w:proofErr w:type="spellEnd"/>
          </w:p>
        </w:tc>
        <w:tc>
          <w:tcPr>
            <w:tcW w:w="5733" w:type="dxa"/>
          </w:tcPr>
          <w:p w:rsidR="002954C2" w:rsidRPr="00D56F0D" w:rsidRDefault="002954C2" w:rsidP="00B53B28">
            <w:pPr>
              <w:rPr>
                <w:rFonts w:ascii="Times Unicode" w:hAnsi="Times Unicode"/>
                <w:sz w:val="20"/>
                <w:szCs w:val="20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Բնակարան, կամ բնակելի տուն </w:t>
            </w:r>
          </w:p>
        </w:tc>
      </w:tr>
      <w:tr w:rsidR="002954C2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2954C2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հարաբերած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գրավի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արժեք</w:t>
            </w:r>
            <w:proofErr w:type="spellEnd"/>
            <w:r w:rsidRPr="00D56F0D">
              <w:rPr>
                <w:rFonts w:ascii="Times Unicode" w:hAnsi="Times Unicode"/>
              </w:rPr>
              <w:t xml:space="preserve">        </w:t>
            </w:r>
            <w:proofErr w:type="spellStart"/>
            <w:r w:rsidRPr="00D56F0D">
              <w:rPr>
                <w:rFonts w:ascii="Times Unicode" w:hAnsi="Times Unicode"/>
              </w:rPr>
              <w:t>առավելագույն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չափը</w:t>
            </w:r>
            <w:proofErr w:type="spellEnd"/>
          </w:p>
        </w:tc>
        <w:tc>
          <w:tcPr>
            <w:tcW w:w="5733" w:type="dxa"/>
          </w:tcPr>
          <w:p w:rsidR="002954C2" w:rsidRPr="00D56F0D" w:rsidRDefault="002954C2" w:rsidP="00581A96">
            <w:pPr>
              <w:rPr>
                <w:rFonts w:ascii="Times Unicode" w:hAnsi="Times Unicode"/>
                <w:sz w:val="20"/>
                <w:szCs w:val="20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Շուկայական արժեքի</w:t>
            </w:r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մինչև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 </w:t>
            </w:r>
            <w:r w:rsidRPr="00D56F0D">
              <w:rPr>
                <w:rFonts w:ascii="Times Unicode" w:hAnsi="Times Unicode"/>
                <w:sz w:val="20"/>
                <w:szCs w:val="20"/>
              </w:rPr>
              <w:t>8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0</w:t>
            </w:r>
            <w:r w:rsidRPr="00D56F0D">
              <w:rPr>
                <w:rFonts w:ascii="Times Unicode" w:hAnsi="Times Unicode"/>
                <w:sz w:val="20"/>
                <w:szCs w:val="20"/>
              </w:rPr>
              <w:t>%</w:t>
            </w:r>
          </w:p>
        </w:tc>
      </w:tr>
      <w:tr w:rsidR="002954C2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տրամադրման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ձևը</w:t>
            </w:r>
            <w:proofErr w:type="spellEnd"/>
          </w:p>
        </w:tc>
        <w:tc>
          <w:tcPr>
            <w:tcW w:w="5733" w:type="dxa"/>
          </w:tcPr>
          <w:p w:rsidR="002954C2" w:rsidRPr="00D56F0D" w:rsidRDefault="002954C2" w:rsidP="00581A96">
            <w:pPr>
              <w:rPr>
                <w:rFonts w:ascii="Times Unicode" w:hAnsi="Times Unicode"/>
                <w:sz w:val="20"/>
                <w:szCs w:val="20"/>
              </w:rPr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Կանխիկ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,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միանվագ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կամ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անկանխիկ</w:t>
            </w:r>
            <w:proofErr w:type="spellEnd"/>
          </w:p>
        </w:tc>
      </w:tr>
      <w:tr w:rsidR="002954C2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581A96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մայր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գումարի</w:t>
            </w:r>
            <w:proofErr w:type="spellEnd"/>
            <w:r w:rsidRPr="00D56F0D">
              <w:rPr>
                <w:rFonts w:ascii="Times Unicode" w:hAnsi="Times Unicode"/>
              </w:rPr>
              <w:t xml:space="preserve"> և </w:t>
            </w:r>
            <w:proofErr w:type="spellStart"/>
            <w:r w:rsidRPr="00D56F0D">
              <w:rPr>
                <w:rFonts w:ascii="Times Unicode" w:hAnsi="Times Unicode"/>
              </w:rPr>
              <w:t>տոկոսագումարների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մարում</w:t>
            </w:r>
            <w:proofErr w:type="spellEnd"/>
          </w:p>
        </w:tc>
        <w:tc>
          <w:tcPr>
            <w:tcW w:w="5733" w:type="dxa"/>
          </w:tcPr>
          <w:p w:rsidR="002954C2" w:rsidRPr="00D56F0D" w:rsidRDefault="002954C2" w:rsidP="00581A96">
            <w:pPr>
              <w:rPr>
                <w:rFonts w:ascii="Times Unicode" w:hAnsi="Times Unicode"/>
                <w:sz w:val="20"/>
                <w:szCs w:val="20"/>
              </w:rPr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Ամսական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հավասարաչափ</w:t>
            </w:r>
            <w:proofErr w:type="spellEnd"/>
          </w:p>
        </w:tc>
      </w:tr>
      <w:tr w:rsidR="002954C2" w:rsidRPr="00B4522F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Default="002954C2" w:rsidP="00581A96">
            <w:r w:rsidRPr="00D56F0D">
              <w:rPr>
                <w:rFonts w:ascii="Times Unicode" w:hAnsi="Times Unicode"/>
                <w:lang w:val="hy-AM"/>
              </w:rPr>
              <w:t>Վարկային հայտի վերաբերյալ որոշման կայացման և հաճախորդին հայտնելու ժամկետ</w:t>
            </w:r>
          </w:p>
        </w:tc>
        <w:tc>
          <w:tcPr>
            <w:tcW w:w="5733" w:type="dxa"/>
          </w:tcPr>
          <w:p w:rsidR="002954C2" w:rsidRPr="00EF47A2" w:rsidRDefault="002954C2" w:rsidP="0058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EF47A2">
              <w:rPr>
                <w:rFonts w:ascii="Times Unicode" w:hAnsi="Times Unicode" w:cs="Sylfaen"/>
                <w:sz w:val="20"/>
                <w:szCs w:val="20"/>
                <w:lang w:val="hy-AM"/>
              </w:rPr>
              <w:t>Դիմում</w:t>
            </w: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 xml:space="preserve">-հայտարարագրի վերաբերյալ որոշումը՝  առավելագույնը երկշաբաթյա ժամկետում </w:t>
            </w:r>
          </w:p>
          <w:p w:rsidR="002954C2" w:rsidRPr="00EF47A2" w:rsidRDefault="002954C2" w:rsidP="0058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Որոշման մասին  հաճախորդին</w:t>
            </w:r>
            <w:r>
              <w:rPr>
                <w:rFonts w:ascii="Times Unicode" w:hAnsi="Times Unicode"/>
                <w:sz w:val="20"/>
                <w:szCs w:val="20"/>
                <w:lang w:val="hy-AM"/>
              </w:rPr>
              <w:t xml:space="preserve"> տեղեկ</w:t>
            </w: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ա</w:t>
            </w:r>
            <w:r>
              <w:rPr>
                <w:rFonts w:ascii="Times Unicode" w:hAnsi="Times Unicode"/>
                <w:sz w:val="20"/>
                <w:szCs w:val="20"/>
                <w:lang w:val="hy-AM"/>
              </w:rPr>
              <w:t xml:space="preserve">ցնելը՝ </w:t>
            </w: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 xml:space="preserve"> առավելագույնը երկօրյա ժամկետում </w:t>
            </w:r>
          </w:p>
          <w:p w:rsidR="002954C2" w:rsidRPr="00581A96" w:rsidRDefault="002954C2" w:rsidP="0058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  <w:r w:rsidRPr="00581A96">
              <w:rPr>
                <w:rFonts w:ascii="Times Unicode" w:hAnsi="Times Unicode" w:cs="Sylfaen"/>
                <w:sz w:val="20"/>
                <w:szCs w:val="20"/>
                <w:lang w:val="hy-AM"/>
              </w:rPr>
              <w:t>Վարկի</w:t>
            </w:r>
            <w:r w:rsidRPr="00581A96">
              <w:rPr>
                <w:rFonts w:ascii="Times Unicode" w:hAnsi="Times Unicode"/>
                <w:sz w:val="20"/>
                <w:szCs w:val="20"/>
                <w:lang w:val="hy-AM"/>
              </w:rPr>
              <w:t xml:space="preserve"> տրամադրում՝  մեկշաբաթյա ժամկետում հաճախորդի կողմից անհրաժեշտ փաստաթղթերի փաթեթը ներկայացնելուց հետո  /բացառությամբ ընկերությունից  չկախված հանգամանքներից</w:t>
            </w:r>
          </w:p>
        </w:tc>
      </w:tr>
      <w:tr w:rsidR="002954C2" w:rsidRP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B02BAC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Ժամկետանց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մայր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գումարի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տույժ</w:t>
            </w:r>
            <w:proofErr w:type="spellEnd"/>
          </w:p>
        </w:tc>
        <w:tc>
          <w:tcPr>
            <w:tcW w:w="5733" w:type="dxa"/>
          </w:tcPr>
          <w:p w:rsidR="002954C2" w:rsidRPr="002954C2" w:rsidRDefault="002954C2" w:rsidP="00B02BA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Վարկի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ժամկետանց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մայր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գումարի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վրա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օրական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կտրվածքով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աշխատում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է 0,5%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տույժ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/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ոչ</w:t>
            </w:r>
            <w:proofErr w:type="spellEnd"/>
            <w:r w:rsidRPr="006139C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ավել</w:t>
            </w:r>
            <w:proofErr w:type="spellEnd"/>
            <w:r w:rsidRPr="006139C9">
              <w:rPr>
                <w:rFonts w:ascii="Times Unicode" w:hAnsi="Times Unicode"/>
                <w:sz w:val="20"/>
                <w:szCs w:val="20"/>
              </w:rPr>
              <w:t xml:space="preserve"> 250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օրից</w:t>
            </w:r>
            <w:proofErr w:type="spellEnd"/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/</w:t>
            </w:r>
          </w:p>
        </w:tc>
      </w:tr>
      <w:tr w:rsidR="002954C2" w:rsidRP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B02BAC">
            <w:pPr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Ժամկետանց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տոկոսագումարի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տույժ</w:t>
            </w:r>
            <w:proofErr w:type="spellEnd"/>
          </w:p>
          <w:p w:rsidR="002954C2" w:rsidRPr="00D56F0D" w:rsidRDefault="002954C2" w:rsidP="00B02BAC">
            <w:pPr>
              <w:jc w:val="right"/>
              <w:rPr>
                <w:rFonts w:ascii="Times Unicode" w:hAnsi="Times Unicode"/>
              </w:rPr>
            </w:pPr>
          </w:p>
        </w:tc>
        <w:tc>
          <w:tcPr>
            <w:tcW w:w="5733" w:type="dxa"/>
          </w:tcPr>
          <w:p w:rsidR="002954C2" w:rsidRPr="002954C2" w:rsidRDefault="002954C2" w:rsidP="00B02BA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Վարկի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ժամկետանց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տոկոսագումարի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վրա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օրական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կտրվածքով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աշխատում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</w:rPr>
              <w:t xml:space="preserve"> է 0,5%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տույժ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/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ոչ</w:t>
            </w:r>
            <w:proofErr w:type="spellEnd"/>
            <w:r w:rsidRPr="006139C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ավել</w:t>
            </w:r>
            <w:proofErr w:type="spellEnd"/>
            <w:r w:rsidRPr="006139C9">
              <w:rPr>
                <w:rFonts w:ascii="Times Unicode" w:hAnsi="Times Unicode"/>
                <w:sz w:val="20"/>
                <w:szCs w:val="20"/>
              </w:rPr>
              <w:t xml:space="preserve"> 250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օրից</w:t>
            </w:r>
            <w:proofErr w:type="spellEnd"/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/</w:t>
            </w:r>
          </w:p>
        </w:tc>
      </w:tr>
      <w:tr w:rsidR="002954C2" w:rsidRPr="00581A96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6139C9" w:rsidRDefault="002954C2" w:rsidP="00B02BAC">
            <w:pPr>
              <w:rPr>
                <w:rFonts w:ascii="Times Unicode" w:hAnsi="Times Unicode"/>
              </w:rPr>
            </w:pPr>
            <w:proofErr w:type="spellStart"/>
            <w:r>
              <w:rPr>
                <w:rFonts w:ascii="Times Unicode" w:hAnsi="Times Unicode"/>
              </w:rPr>
              <w:t>Տուգանք</w:t>
            </w:r>
            <w:proofErr w:type="spellEnd"/>
          </w:p>
        </w:tc>
        <w:tc>
          <w:tcPr>
            <w:tcW w:w="5733" w:type="dxa"/>
          </w:tcPr>
          <w:p w:rsidR="002954C2" w:rsidRPr="006139C9" w:rsidRDefault="002954C2" w:rsidP="00B02BAC">
            <w:pPr>
              <w:rPr>
                <w:rFonts w:ascii="Times Unicode" w:hAnsi="Times Unicode"/>
                <w:sz w:val="20"/>
                <w:szCs w:val="20"/>
              </w:rPr>
            </w:pPr>
            <w:r>
              <w:rPr>
                <w:rFonts w:ascii="Times Unicode" w:hAnsi="Times Unicode"/>
                <w:sz w:val="20"/>
                <w:szCs w:val="20"/>
              </w:rPr>
              <w:t xml:space="preserve">5000 ՀՀ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դրամ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/</w:t>
            </w:r>
            <w:r>
              <w:rPr>
                <w:rFonts w:ascii="Times Unicode" w:hAnsi="Times Unicode"/>
                <w:sz w:val="20"/>
                <w:szCs w:val="20"/>
              </w:rPr>
              <w:t xml:space="preserve">7 և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ավելի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օր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ուշացման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համար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ամիսը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մեկ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անգամ</w:t>
            </w:r>
            <w:proofErr w:type="spellEnd"/>
            <w:r w:rsidRPr="00EF47A2">
              <w:rPr>
                <w:rFonts w:ascii="Times Unicode" w:hAnsi="Times Unicode"/>
                <w:sz w:val="20"/>
                <w:szCs w:val="20"/>
                <w:lang w:val="hy-AM"/>
              </w:rPr>
              <w:t>/</w:t>
            </w:r>
          </w:p>
        </w:tc>
      </w:tr>
      <w:tr w:rsidR="002954C2" w:rsidRPr="00B4522F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2954C2" w:rsidRPr="00D56F0D" w:rsidRDefault="002954C2" w:rsidP="00B02BAC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Վարկը ժամկետից շուտ մարելու դեպքում՝  </w:t>
            </w:r>
          </w:p>
          <w:p w:rsidR="002954C2" w:rsidRPr="00506773" w:rsidRDefault="002954C2" w:rsidP="00B02BAC">
            <w:pPr>
              <w:tabs>
                <w:tab w:val="left" w:pos="3730"/>
              </w:tabs>
              <w:rPr>
                <w:rFonts w:ascii="Times Unicode" w:hAnsi="Times Unicode"/>
                <w:lang w:val="hy-AM"/>
              </w:rPr>
            </w:pPr>
            <w:r>
              <w:rPr>
                <w:rFonts w:ascii="Times Unicode" w:hAnsi="Times Unicode"/>
                <w:lang w:val="hy-AM"/>
              </w:rPr>
              <w:tab/>
            </w:r>
          </w:p>
        </w:tc>
        <w:tc>
          <w:tcPr>
            <w:tcW w:w="5733" w:type="dxa"/>
          </w:tcPr>
          <w:p w:rsidR="002954C2" w:rsidRPr="00D56F0D" w:rsidRDefault="002954C2" w:rsidP="002954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Վարկը կամ նրա մասը ժամկետից շուտ մարելու դեպքում, վարկառուն վճարում է տույժ ժամկետից շուտ մարված գումարի մեկ ամսվա տոկոսագումարի չափով</w:t>
            </w:r>
          </w:p>
          <w:p w:rsidR="002954C2" w:rsidRPr="00506773" w:rsidRDefault="002954C2" w:rsidP="002954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506773">
              <w:rPr>
                <w:rFonts w:ascii="Times Unicode" w:hAnsi="Times Unicode" w:cs="Sylfaen"/>
                <w:sz w:val="20"/>
                <w:szCs w:val="20"/>
                <w:lang w:val="hy-AM"/>
              </w:rPr>
              <w:t>Տոկոսները</w:t>
            </w:r>
            <w:r w:rsidRPr="00506773">
              <w:rPr>
                <w:rFonts w:ascii="Times Unicode" w:hAnsi="Times Unicode"/>
                <w:sz w:val="20"/>
                <w:szCs w:val="20"/>
                <w:lang w:val="hy-AM"/>
              </w:rPr>
              <w:t xml:space="preserve"> հաշվարկվում են փաստացի օգտագործված օրերի համար</w:t>
            </w:r>
          </w:p>
        </w:tc>
      </w:tr>
      <w:tr w:rsidR="00DE2D3D" w:rsidRPr="00B4522F" w:rsidTr="00DE2D3D">
        <w:trPr>
          <w:gridAfter w:val="2"/>
          <w:wAfter w:w="10746" w:type="dxa"/>
        </w:trPr>
        <w:tc>
          <w:tcPr>
            <w:tcW w:w="5733" w:type="dxa"/>
            <w:gridSpan w:val="2"/>
          </w:tcPr>
          <w:p w:rsidR="00DE2D3D" w:rsidRPr="005443F2" w:rsidRDefault="00DE2D3D" w:rsidP="00B02BAC">
            <w:pPr>
              <w:rPr>
                <w:rFonts w:ascii="Times Unicode" w:hAnsi="Times Unicode"/>
                <w:sz w:val="20"/>
                <w:szCs w:val="20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Վճարումների</w:t>
            </w:r>
            <w:proofErr w:type="spellEnd"/>
            <w:r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</w:rPr>
              <w:t>արժույթ</w:t>
            </w:r>
            <w:proofErr w:type="spellEnd"/>
          </w:p>
        </w:tc>
        <w:tc>
          <w:tcPr>
            <w:tcW w:w="5733" w:type="dxa"/>
          </w:tcPr>
          <w:p w:rsidR="00DE2D3D" w:rsidRPr="005443F2" w:rsidRDefault="00DE2D3D" w:rsidP="00DE2D3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Վարկի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գումար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hy-AM"/>
              </w:rPr>
              <w:t>՝ ԱՄՆ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hy-AM"/>
              </w:rPr>
              <w:t>դոլար</w:t>
            </w:r>
          </w:p>
          <w:p w:rsidR="00DE2D3D" w:rsidRPr="005443F2" w:rsidRDefault="00DE2D3D" w:rsidP="00DE2D3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Տոկոս</w:t>
            </w:r>
            <w:proofErr w:type="spellEnd"/>
            <w:r w:rsidRPr="005443F2">
              <w:rPr>
                <w:rFonts w:ascii="Times Unicode" w:hAnsi="Times Unicod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տույժ</w:t>
            </w:r>
            <w:proofErr w:type="spellEnd"/>
            <w:r w:rsidRPr="005443F2">
              <w:rPr>
                <w:rFonts w:ascii="Times Unicode" w:hAnsi="Times Unicod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տուգանք</w:t>
            </w:r>
            <w:proofErr w:type="spellEnd"/>
            <w:r w:rsidRPr="005443F2">
              <w:rPr>
                <w:rFonts w:ascii="Times Unicode" w:hAnsi="Times Unicode"/>
                <w:sz w:val="20"/>
                <w:szCs w:val="20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՝</w:t>
            </w:r>
            <w:r w:rsidRPr="005443F2">
              <w:rPr>
                <w:rFonts w:ascii="Times Unicode" w:hAnsi="Times Unicode"/>
                <w:sz w:val="20"/>
                <w:szCs w:val="20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ՀՀ</w:t>
            </w:r>
            <w:r w:rsidRPr="005443F2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դրամ</w:t>
            </w:r>
            <w:proofErr w:type="spellEnd"/>
            <w:r w:rsidRPr="005443F2">
              <w:rPr>
                <w:rFonts w:ascii="Times Unicode" w:hAnsi="Times Unicode"/>
                <w:sz w:val="20"/>
                <w:szCs w:val="20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ԿԲ</w:t>
            </w:r>
            <w:r w:rsidRPr="005443F2">
              <w:rPr>
                <w:rFonts w:ascii="Times Unicode" w:hAnsi="Times Unicode"/>
                <w:sz w:val="20"/>
                <w:szCs w:val="20"/>
              </w:rPr>
              <w:t>-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ի</w:t>
            </w:r>
            <w:r w:rsidRPr="005443F2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փոխարժեքով</w:t>
            </w:r>
            <w:proofErr w:type="spellEnd"/>
          </w:p>
        </w:tc>
      </w:tr>
      <w:tr w:rsidR="00DE2D3D" w:rsidRPr="00B4522F" w:rsidTr="00DE2D3D">
        <w:trPr>
          <w:gridAfter w:val="2"/>
          <w:wAfter w:w="10746" w:type="dxa"/>
        </w:trPr>
        <w:tc>
          <w:tcPr>
            <w:tcW w:w="11466" w:type="dxa"/>
            <w:gridSpan w:val="3"/>
          </w:tcPr>
          <w:p w:rsidR="00DE2D3D" w:rsidRDefault="00DE2D3D" w:rsidP="00DE2D3D">
            <w:pPr>
              <w:tabs>
                <w:tab w:val="left" w:pos="2515"/>
              </w:tabs>
              <w:rPr>
                <w:rFonts w:ascii="Times Unicode" w:hAnsi="Times Unicode"/>
              </w:rPr>
            </w:pPr>
            <w:r w:rsidRPr="00D56F0D">
              <w:rPr>
                <w:rFonts w:ascii="Times Unicode" w:hAnsi="Times Unicode"/>
                <w:lang w:val="hy-AM"/>
              </w:rPr>
              <w:t>ԶԳՈՒՇԱՑՈՒՄ՝</w:t>
            </w:r>
            <w:r>
              <w:rPr>
                <w:rFonts w:ascii="Times Unicode" w:hAnsi="Times Unicode"/>
              </w:rPr>
              <w:t xml:space="preserve"> </w:t>
            </w:r>
          </w:p>
          <w:p w:rsidR="00DE2D3D" w:rsidRPr="00921AFB" w:rsidRDefault="00DE2D3D" w:rsidP="00DE2D3D">
            <w:pPr>
              <w:pStyle w:val="a4"/>
              <w:numPr>
                <w:ilvl w:val="0"/>
                <w:numId w:val="7"/>
              </w:numPr>
              <w:tabs>
                <w:tab w:val="left" w:pos="2515"/>
              </w:tabs>
              <w:spacing w:after="0" w:line="240" w:lineRule="auto"/>
              <w:rPr>
                <w:rFonts w:ascii="Times Unicode" w:hAnsi="Times Unicode"/>
                <w:color w:val="FF0000"/>
                <w:sz w:val="20"/>
                <w:szCs w:val="20"/>
                <w:lang w:val="hy-AM"/>
              </w:rPr>
            </w:pPr>
            <w:r w:rsidRPr="00921AFB">
              <w:rPr>
                <w:rFonts w:ascii="Times Unicode" w:hAnsi="Times Unicode" w:cs="Sylfaen"/>
                <w:color w:val="FF0000"/>
                <w:lang w:val="hy-AM"/>
              </w:rPr>
              <w:t>Ձ</w:t>
            </w:r>
            <w:r w:rsidRPr="00921AFB">
              <w:rPr>
                <w:rFonts w:ascii="Times Unicode" w:hAnsi="Times Unicode"/>
                <w:color w:val="FF0000"/>
                <w:lang w:val="hy-AM"/>
              </w:rPr>
              <w:t>եր գույքը կարող է օրենքով սահմանված կարգով բռնագանձվել եթե դուք ժամանակին չկատարեք տոկոսագումարների և վարկի գումարների մարումները:</w:t>
            </w:r>
          </w:p>
          <w:p w:rsidR="00DE2D3D" w:rsidRPr="00921AFB" w:rsidRDefault="00DE2D3D" w:rsidP="00DE2D3D">
            <w:pPr>
              <w:pStyle w:val="a4"/>
              <w:numPr>
                <w:ilvl w:val="0"/>
                <w:numId w:val="7"/>
              </w:numPr>
              <w:tabs>
                <w:tab w:val="left" w:pos="2515"/>
              </w:tabs>
              <w:spacing w:after="0" w:line="240" w:lineRule="auto"/>
              <w:rPr>
                <w:rFonts w:ascii="Times Unicode" w:hAnsi="Times Unicode"/>
                <w:color w:val="FF0000"/>
                <w:lang w:val="hy-AM"/>
              </w:rPr>
            </w:pP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Վարկային պարտավորությունները չկատարելու կամ ոչ պատշաճ կատարելու դեպքում գրավառուն գրավոր ծանուցում է գրավատուներին առանց դատարան դիմելու գրավի առարկայի բռնագանձման    մասին:  Ծանուցման հանձնման պահից երկու ամիս հետո գրավառուն ՀՀ քաղաքացիական օրենսգրքի 249 հոդվածի ուժով և գնելու ն     ախապատվության   իրավունքի      կանոնները պահպանելով իրավունք ունի գրավատուի անունից և նրա հաշվին     իրացնելու    գրավի առարկան    ուղղակի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վաճառքի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ձևով    կամ   այն   իրացնել ապրանքահումքային բորսաների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միջոցով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կամ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վարկային պարտավորության համապատասխան չափի դիմաց գրավի առարկան ընկերությանը, կամ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ընկերության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նշած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անձին ի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սեփականություն հանձնելու միջոցով:    Գրավի  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  հաշվին   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պարտավորությունները  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մարելու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դեպքում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վարկառուի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     </w:t>
            </w:r>
            <w:r w:rsidRPr="00921AFB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վարկային պարտավորությունները ծածկելու համար գրավը բավարար չլինելու դեպքում  բռնագանձում է տարածվում վարկառուի այլ գույքի նկատմամբ:</w:t>
            </w:r>
          </w:p>
          <w:p w:rsidR="00DE2D3D" w:rsidRPr="00506773" w:rsidRDefault="00DE2D3D" w:rsidP="00DE2D3D">
            <w:pPr>
              <w:pStyle w:val="a4"/>
              <w:numPr>
                <w:ilvl w:val="0"/>
                <w:numId w:val="7"/>
              </w:numPr>
              <w:tabs>
                <w:tab w:val="left" w:pos="2515"/>
              </w:tabs>
              <w:spacing w:after="0" w:line="240" w:lineRule="auto"/>
              <w:rPr>
                <w:rFonts w:ascii="Times Unicode" w:hAnsi="Times Unicode"/>
                <w:lang w:val="hy-AM"/>
              </w:rPr>
            </w:pPr>
            <w:r w:rsidRPr="00506773">
              <w:rPr>
                <w:rFonts w:ascii="Times Unicode" w:hAnsi="Times Unicode" w:cs="Sylfaen"/>
                <w:color w:val="FF0000"/>
                <w:shd w:val="clear" w:color="auto" w:fill="F5F9EA"/>
                <w:lang w:val="hy-AM"/>
              </w:rPr>
              <w:t>Վարկային</w:t>
            </w:r>
            <w:r w:rsidRPr="00506773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   պարտավորությունները   չկատարելու    կամ ոչ պատշաճ կատարելու դեպքում վարկառուի մասին տեղեկությունները </w:t>
            </w:r>
            <w:r w:rsidR="00164B5D" w:rsidRPr="00BE61D9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 xml:space="preserve">  </w:t>
            </w:r>
            <w:r w:rsidRPr="00506773">
              <w:rPr>
                <w:rFonts w:ascii="Times Unicode" w:hAnsi="Times Unicode"/>
                <w:color w:val="FF0000"/>
                <w:shd w:val="clear" w:color="auto" w:fill="F5F9EA"/>
                <w:lang w:val="hy-AM"/>
              </w:rPr>
              <w:t>գրանցվում են վարկային ռեգիստրում կամ ACRA վարկային բյուրոյում:</w:t>
            </w:r>
          </w:p>
          <w:p w:rsidR="00DE2D3D" w:rsidRPr="00DE2D3D" w:rsidRDefault="00DE2D3D" w:rsidP="00DE2D3D">
            <w:pPr>
              <w:pStyle w:val="a4"/>
              <w:numPr>
                <w:ilvl w:val="0"/>
                <w:numId w:val="7"/>
              </w:numPr>
              <w:tabs>
                <w:tab w:val="left" w:pos="2515"/>
              </w:tabs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E2D3D">
              <w:rPr>
                <w:rFonts w:ascii="Sylfaen" w:hAnsi="Sylfaen" w:cs="Sylfaen"/>
                <w:bCs/>
                <w:color w:val="FF0000"/>
                <w:lang w:val="hy-AM"/>
              </w:rPr>
              <w:t>Արտարժույթի</w:t>
            </w:r>
            <w:r w:rsidRPr="00DE2D3D">
              <w:rPr>
                <w:rFonts w:ascii="Sylfaen" w:hAnsi="Sylfaen"/>
                <w:bCs/>
                <w:color w:val="FF0000"/>
                <w:lang w:val="hy-AM"/>
              </w:rPr>
              <w:t xml:space="preserve"> փոխարժեքի փոփոխությունները կարող են ազդեցություն ունենալ վարկի մարումների վրա </w:t>
            </w:r>
          </w:p>
        </w:tc>
      </w:tr>
      <w:tr w:rsidR="00DE2D3D" w:rsidRPr="00B4522F" w:rsidTr="00DE2D3D">
        <w:trPr>
          <w:gridAfter w:val="2"/>
          <w:wAfter w:w="10746" w:type="dxa"/>
        </w:trPr>
        <w:tc>
          <w:tcPr>
            <w:tcW w:w="11466" w:type="dxa"/>
            <w:gridSpan w:val="3"/>
          </w:tcPr>
          <w:p w:rsidR="00DE2D3D" w:rsidRPr="00D56F0D" w:rsidRDefault="00DE2D3D" w:rsidP="00B02BAC">
            <w:pPr>
              <w:tabs>
                <w:tab w:val="left" w:pos="2515"/>
              </w:tabs>
              <w:rPr>
                <w:rFonts w:ascii="Times Unicode" w:hAnsi="Times Unicode"/>
                <w:b/>
                <w:lang w:val="hy-AM"/>
              </w:rPr>
            </w:pPr>
            <w:r w:rsidRPr="00D56F0D">
              <w:rPr>
                <w:rFonts w:ascii="Times Unicode" w:hAnsi="Times Unicode"/>
                <w:b/>
                <w:lang w:val="hy-AM"/>
              </w:rPr>
              <w:t>Վարկի տոկոսադրույքի հաշվարկ՝</w:t>
            </w:r>
          </w:p>
          <w:p w:rsidR="00DE2D3D" w:rsidRPr="00D56F0D" w:rsidRDefault="00DE2D3D" w:rsidP="00B02BAC">
            <w:pPr>
              <w:tabs>
                <w:tab w:val="left" w:pos="2515"/>
              </w:tabs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t>Վարկի գումար՝ 15.000 ԱՄՆ դոլար</w:t>
            </w:r>
          </w:p>
          <w:p w:rsidR="00DE2D3D" w:rsidRPr="00D56F0D" w:rsidRDefault="00DE2D3D" w:rsidP="00B02BAC">
            <w:pPr>
              <w:tabs>
                <w:tab w:val="left" w:pos="2515"/>
              </w:tabs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t>Վարկի տարեկան անվանական տոկոսադրույք՝ 17%</w:t>
            </w:r>
          </w:p>
          <w:p w:rsidR="00DE2D3D" w:rsidRPr="00D56F0D" w:rsidRDefault="00DE2D3D" w:rsidP="00B02BAC">
            <w:pPr>
              <w:tabs>
                <w:tab w:val="left" w:pos="2515"/>
              </w:tabs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lastRenderedPageBreak/>
              <w:t>Ամսվա օրերի թիվը ընդունել 30օր, տարին ընդունել365 օր</w:t>
            </w:r>
          </w:p>
          <w:p w:rsidR="00DE2D3D" w:rsidRPr="00D56F0D" w:rsidRDefault="00DE2D3D" w:rsidP="00B02BAC">
            <w:pPr>
              <w:tabs>
                <w:tab w:val="left" w:pos="2515"/>
              </w:tabs>
              <w:rPr>
                <w:rFonts w:ascii="Times Unicode" w:hAnsi="Times Unicode"/>
                <w:bCs/>
                <w:lang w:val="hy-AM"/>
              </w:rPr>
            </w:pPr>
            <w:r w:rsidRPr="00D56F0D">
              <w:rPr>
                <w:rFonts w:ascii="Times Unicode" w:hAnsi="Times Unicode"/>
                <w:lang w:val="hy-AM"/>
              </w:rPr>
              <w:t xml:space="preserve">Տոկոսը հաշվարկվում է՝ </w:t>
            </w:r>
            <w:r w:rsidRPr="00D56F0D">
              <w:rPr>
                <w:rStyle w:val="a6"/>
                <w:rFonts w:ascii="Times Unicode" w:hAnsi="Times Unicode" w:cs="Tahoma"/>
                <w:b w:val="0"/>
                <w:iCs/>
                <w:shd w:val="clear" w:color="auto" w:fill="F5F9EA"/>
                <w:lang w:val="hy-AM"/>
              </w:rPr>
              <w:t>(</w:t>
            </w:r>
            <w:r w:rsidRPr="00D56F0D">
              <w:rPr>
                <w:rFonts w:ascii="Times Unicode" w:hAnsi="Times Unicode"/>
                <w:bCs/>
                <w:lang w:val="hy-AM"/>
              </w:rPr>
              <w:t>15</w:t>
            </w:r>
            <w:r w:rsidRPr="00D56F0D">
              <w:rPr>
                <w:rFonts w:ascii="Times Unicode" w:hAnsi="Times Unicode"/>
                <w:bCs/>
                <w:sz w:val="24"/>
                <w:szCs w:val="24"/>
                <w:lang w:val="hy-AM"/>
              </w:rPr>
              <w:t>.000</w:t>
            </w:r>
            <w:r w:rsidRPr="00D56F0D">
              <w:rPr>
                <w:rFonts w:ascii="Times Unicode" w:hAnsi="Times Unicode"/>
                <w:lang w:val="hy-AM"/>
              </w:rPr>
              <w:t xml:space="preserve"> X 17%</w:t>
            </w:r>
            <w:r w:rsidRPr="00D56F0D">
              <w:rPr>
                <w:rFonts w:ascii="Times Unicode" w:hAnsi="Times Unicode"/>
                <w:bCs/>
                <w:lang w:val="hy-AM"/>
              </w:rPr>
              <w:t xml:space="preserve">)/ 365 X30 </w:t>
            </w:r>
            <w:r w:rsidRPr="00D56F0D">
              <w:rPr>
                <w:rFonts w:ascii="Times Unicode" w:hAnsi="Times Unicode"/>
                <w:b/>
                <w:bCs/>
                <w:sz w:val="24"/>
                <w:szCs w:val="24"/>
                <w:lang w:val="hy-AM"/>
              </w:rPr>
              <w:t xml:space="preserve">= </w:t>
            </w:r>
            <w:r w:rsidRPr="00D56F0D">
              <w:rPr>
                <w:rFonts w:ascii="Times Unicode" w:hAnsi="Times Unicode"/>
                <w:bCs/>
                <w:lang w:val="hy-AM"/>
              </w:rPr>
              <w:t>209,59դոլար</w:t>
            </w:r>
          </w:p>
          <w:p w:rsidR="00DE2D3D" w:rsidRPr="00D56F0D" w:rsidRDefault="00DE2D3D" w:rsidP="00B02BAC">
            <w:pPr>
              <w:tabs>
                <w:tab w:val="left" w:pos="2515"/>
              </w:tabs>
              <w:rPr>
                <w:rFonts w:ascii="Times Unicode" w:hAnsi="Times Unicode"/>
                <w:bCs/>
                <w:lang w:val="hy-AM"/>
              </w:rPr>
            </w:pPr>
            <w:r w:rsidRPr="00D56F0D">
              <w:rPr>
                <w:rFonts w:ascii="Times Unicode" w:hAnsi="Times Unicode"/>
                <w:bCs/>
                <w:lang w:val="hy-AM"/>
              </w:rPr>
              <w:t>Ենթադրենք,որ վարկառուի վճարման օրվա դրությամբ ՀՀ Կենտրոնական բանկի կողմից հայտարարված փոխարժեքը՝ 1 ԱՄՆ դոլարը՝ 450 դրամ , ապա հաճախորդը վճարում է տոկոս՝ 209,59 X 450</w:t>
            </w:r>
            <w:r w:rsidRPr="00D56F0D">
              <w:rPr>
                <w:rFonts w:ascii="Times Unicode" w:hAnsi="Times Unicode"/>
                <w:b/>
                <w:bCs/>
                <w:sz w:val="24"/>
                <w:szCs w:val="24"/>
                <w:lang w:val="hy-AM"/>
              </w:rPr>
              <w:t>=</w:t>
            </w:r>
            <w:r w:rsidRPr="00D56F0D">
              <w:rPr>
                <w:rFonts w:ascii="Times Unicode" w:hAnsi="Times Unicode"/>
                <w:bCs/>
                <w:lang w:val="hy-AM"/>
              </w:rPr>
              <w:t>94.315,5 դրամ</w:t>
            </w:r>
          </w:p>
        </w:tc>
      </w:tr>
      <w:tr w:rsidR="00581A96" w:rsidTr="00164B5D">
        <w:tc>
          <w:tcPr>
            <w:tcW w:w="5553" w:type="dxa"/>
          </w:tcPr>
          <w:p w:rsidR="00581A96" w:rsidRPr="00581A96" w:rsidRDefault="00581A96" w:rsidP="00B02BAC">
            <w:pPr>
              <w:spacing w:line="276" w:lineRule="auto"/>
              <w:jc w:val="center"/>
              <w:rPr>
                <w:rFonts w:ascii="Times Unicode" w:hAnsi="Times Unicode"/>
                <w:lang w:val="hy-AM"/>
              </w:rPr>
            </w:pPr>
            <w:r w:rsidRPr="00581A96">
              <w:rPr>
                <w:rFonts w:ascii="Times Unicode" w:hAnsi="Times Unicode"/>
                <w:lang w:val="hy-AM"/>
              </w:rPr>
              <w:lastRenderedPageBreak/>
              <w:t>Վարկի տրամադրման դրական որոշման կայացման գործոններ</w:t>
            </w:r>
          </w:p>
          <w:p w:rsidR="00581A96" w:rsidRPr="00457C1A" w:rsidRDefault="00581A96" w:rsidP="00B02BAC">
            <w:pPr>
              <w:jc w:val="center"/>
              <w:rPr>
                <w:rFonts w:ascii="Times Unicode" w:hAnsi="Times Unicode"/>
                <w:lang w:val="hy-AM"/>
              </w:rPr>
            </w:pPr>
          </w:p>
          <w:p w:rsidR="00581A96" w:rsidRPr="00D56F0D" w:rsidRDefault="00581A96" w:rsidP="00B02BA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Բարի</w:t>
            </w:r>
            <w:proofErr w:type="spellEnd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համբավը</w:t>
            </w:r>
            <w:proofErr w:type="spellEnd"/>
          </w:p>
          <w:p w:rsidR="00581A96" w:rsidRPr="00BD3567" w:rsidRDefault="00581A96" w:rsidP="00B02BA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r w:rsidRPr="00D56F0D">
              <w:rPr>
                <w:rFonts w:ascii="Times Unicode" w:hAnsi="Times Unicode"/>
                <w:sz w:val="20"/>
                <w:szCs w:val="20"/>
              </w:rPr>
              <w:t>Չունի ժամկետանց պարտավորություններ</w:t>
            </w:r>
          </w:p>
          <w:p w:rsidR="00581A96" w:rsidRPr="00B02BAC" w:rsidRDefault="00581A96" w:rsidP="00B02BA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56F0D">
              <w:rPr>
                <w:rFonts w:ascii="Times Unicode" w:hAnsi="Times Unicode"/>
                <w:sz w:val="20"/>
                <w:szCs w:val="20"/>
              </w:rPr>
              <w:t>Բավարար</w:t>
            </w:r>
            <w:r w:rsidRPr="00BD3567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Pr="00D56F0D">
              <w:rPr>
                <w:rFonts w:ascii="Times Unicode" w:hAnsi="Times Unicode"/>
                <w:sz w:val="20"/>
                <w:szCs w:val="20"/>
              </w:rPr>
              <w:t>եկամտի</w:t>
            </w:r>
            <w:r w:rsidRPr="00BD3567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Pr="00D56F0D">
              <w:rPr>
                <w:rFonts w:ascii="Times Unicode" w:hAnsi="Times Unicode"/>
                <w:sz w:val="20"/>
                <w:szCs w:val="20"/>
              </w:rPr>
              <w:t>աղբյուրի</w:t>
            </w:r>
            <w:r w:rsidRPr="00BD3567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Pr="00D56F0D">
              <w:rPr>
                <w:rFonts w:ascii="Times Unicode" w:hAnsi="Times Unicode"/>
                <w:sz w:val="20"/>
                <w:szCs w:val="20"/>
              </w:rPr>
              <w:t>առկայություն</w:t>
            </w:r>
            <w:r w:rsidRPr="00BD3567">
              <w:rPr>
                <w:rFonts w:ascii="Times Unicode" w:hAnsi="Times Unicode"/>
                <w:sz w:val="20"/>
                <w:szCs w:val="20"/>
              </w:rPr>
              <w:t xml:space="preserve">: </w:t>
            </w:r>
          </w:p>
          <w:p w:rsidR="00B02BAC" w:rsidRPr="00B02BAC" w:rsidRDefault="00B02BAC" w:rsidP="00247E28">
            <w:pPr>
              <w:pStyle w:val="a4"/>
              <w:spacing w:after="0" w:line="240" w:lineRule="auto"/>
            </w:pP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Բավարար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եկամտի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</w:rPr>
              <w:t xml:space="preserve"> 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</w:rPr>
              <w:t>առկայություն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է</w:t>
            </w:r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համարվում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, </w:t>
            </w:r>
            <w:proofErr w:type="spellStart"/>
            <w:r w:rsidR="00247E28">
              <w:rPr>
                <w:rFonts w:ascii="Times Unicode" w:hAnsi="Times Unicode"/>
                <w:sz w:val="20"/>
                <w:szCs w:val="20"/>
                <w:lang w:val="en-US"/>
              </w:rPr>
              <w:t>եթե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դիմում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>-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հայտարարագրի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ներկայացման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նախորդ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եռամսյակում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ապահովել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</w:t>
            </w:r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է</w:t>
            </w:r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բավարար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դրական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հոսքեր</w:t>
            </w:r>
            <w:proofErr w:type="spellEnd"/>
            <w:r w:rsidRPr="00BE61D9">
              <w:rPr>
                <w:rFonts w:ascii="Times Unicode" w:hAnsi="Times Unicode"/>
                <w:sz w:val="20"/>
                <w:szCs w:val="20"/>
              </w:rPr>
              <w:t xml:space="preserve">, </w:t>
            </w:r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որը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 </w:t>
            </w:r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կարելի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</w:t>
            </w:r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է</w:t>
            </w:r>
            <w:r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որոշե</w:t>
            </w:r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լ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 </w:t>
            </w:r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հարկային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հաշվետվություններից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և</w:t>
            </w:r>
            <w:r w:rsidR="001E67B3" w:rsidRPr="00BE61D9">
              <w:rPr>
                <w:rFonts w:ascii="Times Unicode" w:hAnsi="Times Unicode"/>
                <w:sz w:val="20"/>
                <w:szCs w:val="20"/>
              </w:rPr>
              <w:t>/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կամ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իր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ներքին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փաստաթղթա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>-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շրջանառության</w:t>
            </w:r>
            <w:r w:rsidR="00247E28">
              <w:rPr>
                <w:rFonts w:ascii="Times Unicode" w:hAnsi="Times Unicode"/>
                <w:sz w:val="20"/>
                <w:szCs w:val="20"/>
                <w:lang w:val="en-US"/>
              </w:rPr>
              <w:t>ից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>:</w:t>
            </w:r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Եթե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իրավաբանական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անձը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նոր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հինմադրված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է</w:t>
            </w:r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,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ապա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247E28">
              <w:rPr>
                <w:rFonts w:ascii="Times Unicode" w:hAnsi="Times Unicode"/>
                <w:sz w:val="20"/>
                <w:szCs w:val="20"/>
                <w:lang w:val="en-US"/>
              </w:rPr>
              <w:t>դա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247E28">
              <w:rPr>
                <w:rFonts w:ascii="Times Unicode" w:hAnsi="Times Unicode"/>
                <w:sz w:val="20"/>
                <w:szCs w:val="20"/>
                <w:lang w:val="en-US"/>
              </w:rPr>
              <w:t>պարզ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="00247E28">
              <w:rPr>
                <w:rFonts w:ascii="Times Unicode" w:hAnsi="Times Unicode"/>
                <w:sz w:val="20"/>
                <w:szCs w:val="20"/>
                <w:lang w:val="en-US"/>
              </w:rPr>
              <w:t>է</w:t>
            </w:r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247E28">
              <w:rPr>
                <w:rFonts w:ascii="Times Unicode" w:hAnsi="Times Unicode"/>
                <w:sz w:val="20"/>
                <w:szCs w:val="20"/>
                <w:lang w:val="en-US"/>
              </w:rPr>
              <w:t>դառնում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նրա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կողմից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ներկայացրած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բիզնես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ծրագրի</w:t>
            </w:r>
            <w:proofErr w:type="spellEnd"/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="001E67B3">
              <w:rPr>
                <w:rFonts w:ascii="Times Unicode" w:hAnsi="Times Unicode"/>
                <w:sz w:val="20"/>
                <w:szCs w:val="20"/>
                <w:lang w:val="en-US"/>
              </w:rPr>
              <w:t>ուսումնասիրությունից</w:t>
            </w:r>
            <w:proofErr w:type="spellEnd"/>
            <w:r w:rsidR="00247E28" w:rsidRPr="00BE61D9">
              <w:rPr>
                <w:rFonts w:ascii="Times Unicode" w:hAnsi="Times Unicode"/>
                <w:sz w:val="20"/>
                <w:szCs w:val="20"/>
              </w:rPr>
              <w:t>:</w:t>
            </w:r>
            <w:r w:rsidR="001E67B3" w:rsidRPr="00BE61D9">
              <w:rPr>
                <w:rFonts w:ascii="Times Unicode" w:hAnsi="Times Unicode"/>
                <w:sz w:val="20"/>
                <w:szCs w:val="20"/>
              </w:rPr>
              <w:t xml:space="preserve"> </w:t>
            </w:r>
            <w:r w:rsidRPr="00BD3567">
              <w:rPr>
                <w:rFonts w:ascii="Times Unicode" w:hAnsi="Times Unicode"/>
                <w:sz w:val="20"/>
                <w:szCs w:val="20"/>
              </w:rPr>
              <w:t xml:space="preserve"> </w:t>
            </w:r>
          </w:p>
          <w:p w:rsidR="00B02BAC" w:rsidRPr="00D25B46" w:rsidRDefault="00B02BAC" w:rsidP="00B02BAC">
            <w:pPr>
              <w:pStyle w:val="a4"/>
              <w:spacing w:after="0" w:line="240" w:lineRule="auto"/>
            </w:pPr>
          </w:p>
        </w:tc>
        <w:tc>
          <w:tcPr>
            <w:tcW w:w="5913" w:type="dxa"/>
            <w:gridSpan w:val="2"/>
          </w:tcPr>
          <w:p w:rsidR="00581A96" w:rsidRDefault="00581A96" w:rsidP="00B02BAC">
            <w:pPr>
              <w:jc w:val="center"/>
              <w:rPr>
                <w:rFonts w:ascii="Times Unicode" w:hAnsi="Times Unicode"/>
              </w:rPr>
            </w:pPr>
            <w:proofErr w:type="spellStart"/>
            <w:r w:rsidRPr="00D56F0D">
              <w:rPr>
                <w:rFonts w:ascii="Times Unicode" w:hAnsi="Times Unicode"/>
              </w:rPr>
              <w:t>Վարկի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մերժման</w:t>
            </w:r>
            <w:proofErr w:type="spellEnd"/>
            <w:r w:rsidRPr="00D56F0D">
              <w:rPr>
                <w:rFonts w:ascii="Times Unicode" w:hAnsi="Times Unicode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</w:rPr>
              <w:t>գործոններ</w:t>
            </w:r>
            <w:proofErr w:type="spellEnd"/>
          </w:p>
          <w:p w:rsidR="00581A96" w:rsidRDefault="00581A96" w:rsidP="00B02BAC">
            <w:pPr>
              <w:jc w:val="center"/>
              <w:rPr>
                <w:rFonts w:ascii="Times Unicode" w:hAnsi="Times Unicode"/>
              </w:rPr>
            </w:pPr>
          </w:p>
          <w:p w:rsidR="00581A96" w:rsidRDefault="00581A96" w:rsidP="00B02BAC">
            <w:pPr>
              <w:jc w:val="center"/>
              <w:rPr>
                <w:rFonts w:ascii="Times Unicode" w:hAnsi="Times Unicode"/>
              </w:rPr>
            </w:pPr>
          </w:p>
          <w:p w:rsidR="00581A96" w:rsidRDefault="00581A96" w:rsidP="00B02BA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Վատ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վարկային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պատմություն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>՝</w:t>
            </w:r>
          </w:p>
          <w:p w:rsidR="00581A96" w:rsidRDefault="00581A96" w:rsidP="00B02BAC">
            <w:pPr>
              <w:pStyle w:val="a4"/>
              <w:spacing w:after="0" w:line="240" w:lineRule="auto"/>
              <w:rPr>
                <w:rFonts w:ascii="Times Unicode" w:hAnsi="Time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ը</w:t>
            </w:r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նթացիկ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ժամկետանց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պարտավորությունների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պատճառով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համաձայն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ՀՀԿԲ</w:t>
            </w:r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վարկային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ռեգիստրի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կամ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այլ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վարկային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բյուրոների</w:t>
            </w:r>
            <w:proofErr w:type="spellEnd"/>
            <w:r w:rsidRPr="00BD3567"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F0D">
              <w:rPr>
                <w:rFonts w:ascii="Times Unicode" w:hAnsi="Times Unicode"/>
                <w:sz w:val="20"/>
                <w:szCs w:val="20"/>
                <w:lang w:val="en-US"/>
              </w:rPr>
              <w:t>տեղեկատվության</w:t>
            </w:r>
            <w:proofErr w:type="spellEnd"/>
          </w:p>
          <w:p w:rsidR="00581A96" w:rsidRPr="00913947" w:rsidRDefault="00581A96" w:rsidP="00B02BA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Գրավի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ոչ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համարժեք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լինելը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</w:p>
          <w:p w:rsidR="00581A96" w:rsidRPr="00D56F0D" w:rsidRDefault="00581A96" w:rsidP="00B02BA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Հաճախորդի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ոչ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վարկարժան</w:t>
            </w:r>
            <w:proofErr w:type="spellEnd"/>
            <w:r>
              <w:rPr>
                <w:rFonts w:ascii="Times Unicode" w:hAnsi="Time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Unicode" w:hAnsi="Times Unicode"/>
                <w:sz w:val="20"/>
                <w:szCs w:val="20"/>
                <w:lang w:val="en-US"/>
              </w:rPr>
              <w:t>լինելը</w:t>
            </w:r>
            <w:proofErr w:type="spellEnd"/>
          </w:p>
          <w:p w:rsidR="00581A96" w:rsidRPr="00913947" w:rsidRDefault="00581A96" w:rsidP="00B02BA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</w:rPr>
            </w:pPr>
            <w:proofErr w:type="spellStart"/>
            <w:r w:rsidRPr="00913947">
              <w:rPr>
                <w:rFonts w:ascii="Times Unicode" w:hAnsi="Times Unicode"/>
                <w:sz w:val="20"/>
                <w:szCs w:val="20"/>
                <w:lang w:val="en-US"/>
              </w:rPr>
              <w:t>Անարժանահավատ</w:t>
            </w:r>
            <w:proofErr w:type="spellEnd"/>
            <w:r w:rsidRPr="00913947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913947">
              <w:rPr>
                <w:rFonts w:ascii="Times Unicode" w:hAnsi="Times Unicode"/>
                <w:sz w:val="20"/>
                <w:szCs w:val="20"/>
                <w:lang w:val="en-US"/>
              </w:rPr>
              <w:t>փաստաթղթերի</w:t>
            </w:r>
            <w:proofErr w:type="spellEnd"/>
            <w:r w:rsidRPr="00913947">
              <w:rPr>
                <w:rFonts w:ascii="Times Unicode" w:hAnsi="Times Unicode"/>
                <w:sz w:val="20"/>
                <w:szCs w:val="20"/>
              </w:rPr>
              <w:t xml:space="preserve"> </w:t>
            </w:r>
            <w:proofErr w:type="spellStart"/>
            <w:r w:rsidRPr="00913947">
              <w:rPr>
                <w:rFonts w:ascii="Times Unicode" w:hAnsi="Times Unicode"/>
                <w:sz w:val="20"/>
                <w:szCs w:val="20"/>
                <w:lang w:val="en-US"/>
              </w:rPr>
              <w:t>ներկայաց</w:t>
            </w:r>
            <w:r>
              <w:rPr>
                <w:rFonts w:ascii="Times Unicode" w:hAnsi="Times Unicode"/>
                <w:sz w:val="20"/>
                <w:szCs w:val="20"/>
                <w:lang w:val="en-US"/>
              </w:rPr>
              <w:t>ում</w:t>
            </w:r>
            <w:proofErr w:type="spellEnd"/>
            <w:r w:rsidRPr="00913947">
              <w:rPr>
                <w:rFonts w:ascii="Times Unicode" w:hAnsi="Times Unicode"/>
                <w:sz w:val="20"/>
                <w:szCs w:val="20"/>
              </w:rPr>
              <w:t xml:space="preserve"> Այլ գործոններ</w:t>
            </w:r>
            <w:r w:rsidRPr="00913947">
              <w:rPr>
                <w:rFonts w:ascii="Times Unicode" w:hAnsi="Times Unicode"/>
              </w:rPr>
              <w:t xml:space="preserve"> </w:t>
            </w:r>
          </w:p>
          <w:p w:rsidR="00581A96" w:rsidRPr="00BD3567" w:rsidRDefault="00581A96" w:rsidP="00B02BAC">
            <w:pPr>
              <w:jc w:val="center"/>
              <w:rPr>
                <w:lang w:val="ru-RU"/>
              </w:rPr>
            </w:pPr>
          </w:p>
        </w:tc>
        <w:tc>
          <w:tcPr>
            <w:tcW w:w="5193" w:type="dxa"/>
          </w:tcPr>
          <w:p w:rsidR="00581A96" w:rsidRDefault="00581A96" w:rsidP="00B02BAC"/>
        </w:tc>
        <w:tc>
          <w:tcPr>
            <w:tcW w:w="5553" w:type="dxa"/>
          </w:tcPr>
          <w:p w:rsidR="00581A96" w:rsidRDefault="00581A96" w:rsidP="00B02BAC"/>
        </w:tc>
      </w:tr>
    </w:tbl>
    <w:p w:rsidR="0013063E" w:rsidRDefault="001306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164B5D" w:rsidRPr="00B4522F" w:rsidTr="009F6CCA">
        <w:tc>
          <w:tcPr>
            <w:tcW w:w="11286" w:type="dxa"/>
          </w:tcPr>
          <w:p w:rsidR="00164B5D" w:rsidRDefault="00164B5D" w:rsidP="00B02BAC">
            <w:pPr>
              <w:rPr>
                <w:rFonts w:ascii="Times Unicode" w:hAnsi="Times Unicode"/>
              </w:rPr>
            </w:pPr>
            <w:r w:rsidRPr="00D56F0D">
              <w:rPr>
                <w:rFonts w:ascii="Times Unicode" w:hAnsi="Times Unicode"/>
                <w:lang w:val="hy-AM"/>
              </w:rPr>
              <w:t>Երրորդ անձանց կողմից մատուցվող ծառայությունների վճարներ</w:t>
            </w:r>
          </w:p>
          <w:p w:rsidR="00164B5D" w:rsidRPr="00F4459B" w:rsidRDefault="00164B5D" w:rsidP="00B02BAC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1.ՀՀ կառավարությանն առընթեր անշարժ գույքի պետական կոմիտեի սպասարկման գրասենյակ՝</w:t>
            </w:r>
          </w:p>
          <w:p w:rsidR="00164B5D" w:rsidRPr="00F4459B" w:rsidRDefault="00164B5D" w:rsidP="00B0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Միասնական տեղեկանք՝ 1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0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.000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-30.</w:t>
            </w:r>
            <w:r>
              <w:rPr>
                <w:rFonts w:ascii="Times Unicode" w:hAnsi="Times Unicode"/>
                <w:sz w:val="20"/>
                <w:szCs w:val="20"/>
              </w:rPr>
              <w:t>000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 ՀՀ դրամ</w:t>
            </w:r>
          </w:p>
          <w:p w:rsidR="00164B5D" w:rsidRPr="00D56F0D" w:rsidRDefault="00164B5D" w:rsidP="00B0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Գրավի պետական գրանցման վճար՝ 27.000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-50.000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 ՀՀ դրամ</w:t>
            </w:r>
          </w:p>
          <w:p w:rsidR="00164B5D" w:rsidRPr="00D56F0D" w:rsidRDefault="00164B5D" w:rsidP="00B02BAC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2.Գրավի պայմանագրի նոտարական վավերացում՝ 1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0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.000-2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5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.000 ՀՀ դրամ</w:t>
            </w:r>
          </w:p>
          <w:p w:rsidR="00164B5D" w:rsidRPr="00F4459B" w:rsidRDefault="00164B5D" w:rsidP="00B02BAC">
            <w:pPr>
              <w:rPr>
                <w:rFonts w:ascii="Times Unicode" w:hAnsi="Times Unicode"/>
                <w:lang w:val="hy-AM"/>
              </w:rPr>
            </w:pP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>3.Անշարժ գույքի գնահատում՝ 15.000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-35.000</w:t>
            </w:r>
            <w:r w:rsidRPr="00D56F0D">
              <w:rPr>
                <w:rFonts w:ascii="Times Unicode" w:hAnsi="Times Unicode"/>
                <w:sz w:val="20"/>
                <w:szCs w:val="20"/>
                <w:lang w:val="hy-AM"/>
              </w:rPr>
              <w:t xml:space="preserve"> ՀՀ դրամ</w:t>
            </w:r>
            <w:r w:rsidRPr="00D56F0D">
              <w:rPr>
                <w:rFonts w:ascii="Times Unicode" w:hAnsi="Times Unicode"/>
                <w:lang w:val="hy-AM"/>
              </w:rPr>
              <w:t xml:space="preserve"> </w:t>
            </w:r>
          </w:p>
          <w:p w:rsidR="00164B5D" w:rsidRPr="00F4459B" w:rsidRDefault="00164B5D" w:rsidP="00B02BAC">
            <w:pPr>
              <w:rPr>
                <w:rFonts w:ascii="Times Unicode" w:hAnsi="Times Unicode"/>
                <w:sz w:val="20"/>
                <w:szCs w:val="20"/>
                <w:lang w:val="hy-AM"/>
              </w:rPr>
            </w:pPr>
            <w:r w:rsidRPr="00F4459B">
              <w:rPr>
                <w:rFonts w:ascii="Times Unicode" w:hAnsi="Times Unicode"/>
                <w:lang w:val="hy-AM"/>
              </w:rPr>
              <w:t>4.</w:t>
            </w:r>
            <w:r w:rsidRPr="00F4459B">
              <w:rPr>
                <w:rFonts w:ascii="Times Unicode" w:hAnsi="Times Unicode"/>
                <w:sz w:val="20"/>
                <w:szCs w:val="20"/>
                <w:lang w:val="hy-AM"/>
              </w:rPr>
              <w:t>Տեղեկանք ACRA համակարգից վարկառուի վարկային պատմության մասին՝ 1.500-5.000 ՀՀ դրամ</w:t>
            </w:r>
          </w:p>
        </w:tc>
      </w:tr>
    </w:tbl>
    <w:p w:rsidR="00581A96" w:rsidRPr="002954C2" w:rsidRDefault="00581A96">
      <w:pPr>
        <w:rPr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8"/>
      </w:tblGrid>
      <w:tr w:rsidR="00581A96" w:rsidRPr="00B4522F" w:rsidTr="00581A96">
        <w:tc>
          <w:tcPr>
            <w:tcW w:w="5958" w:type="dxa"/>
          </w:tcPr>
          <w:p w:rsidR="00581A96" w:rsidRPr="00457C1A" w:rsidRDefault="00581A96" w:rsidP="00581A96">
            <w:pPr>
              <w:pStyle w:val="a7"/>
              <w:shd w:val="clear" w:color="auto" w:fill="F5F9EA"/>
              <w:spacing w:before="0" w:beforeAutospacing="0" w:after="0" w:afterAutospacing="0" w:line="154" w:lineRule="atLeast"/>
              <w:rPr>
                <w:rStyle w:val="a6"/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457C1A">
              <w:rPr>
                <w:rStyle w:val="a6"/>
                <w:rFonts w:ascii="Sylfaen" w:hAnsi="Sylfaen" w:cs="Tahoma"/>
                <w:color w:val="000000"/>
                <w:sz w:val="20"/>
                <w:szCs w:val="20"/>
                <w:lang w:val="hy-AM"/>
              </w:rPr>
              <w:t>Վարկ ստանալու համար անհրաժեշտ փաստաթղթերն են.</w:t>
            </w:r>
          </w:p>
          <w:p w:rsidR="005B445A" w:rsidRPr="005B445A" w:rsidRDefault="00581A96" w:rsidP="005B445A">
            <w:pPr>
              <w:pStyle w:val="a7"/>
              <w:shd w:val="clear" w:color="auto" w:fill="F5F9EA"/>
              <w:spacing w:before="0" w:beforeAutospacing="0" w:after="0" w:afterAutospacing="0" w:line="165" w:lineRule="atLeast"/>
              <w:jc w:val="both"/>
              <w:rPr>
                <w:rFonts w:ascii="Tahoma" w:hAnsi="Tahoma" w:cs="Tahoma"/>
                <w:color w:val="858585"/>
                <w:sz w:val="11"/>
                <w:szCs w:val="11"/>
                <w:lang w:val="hy-AM"/>
              </w:rPr>
            </w:pPr>
            <w:r w:rsidRPr="00457C1A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</w:r>
            <w:r w:rsidR="005B445A" w:rsidRPr="005B445A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Ա) Դիմում-հայտարարագիր գործադիր տնօրենի անունով, որտեղ նշվում է պահանջվող վարկի սահմանաչափը, ժամկետը, տոկոսադրույքը, նպատակը, վարկի վերադարձ</w:t>
            </w:r>
            <w:r w:rsidR="00BE61D9"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ե</w:t>
            </w:r>
            <w:r w:rsidR="005B445A" w:rsidRPr="005B445A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լիության միջոցը,</w:t>
            </w:r>
          </w:p>
          <w:p w:rsidR="00581A96" w:rsidRDefault="005B445A" w:rsidP="008A01ED">
            <w:pPr>
              <w:pStyle w:val="a7"/>
              <w:shd w:val="clear" w:color="auto" w:fill="F5F9EA"/>
              <w:spacing w:before="0" w:beforeAutospacing="0" w:after="0" w:afterAutospacing="0" w:line="165" w:lineRule="atLeast"/>
              <w:rPr>
                <w:lang w:val="hy-AM"/>
              </w:rPr>
            </w:pP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Բ</w:t>
            </w:r>
            <w:r w:rsidRPr="00BE61D9">
              <w:rPr>
                <w:rFonts w:ascii="Sylfaen" w:hAnsi="Sylfaen" w:cs="Tahoma"/>
                <w:color w:val="000000"/>
                <w:sz w:val="13"/>
                <w:szCs w:val="13"/>
                <w:lang w:val="hy-AM"/>
              </w:rPr>
              <w:t>)</w:t>
            </w:r>
            <w:r w:rsidRPr="00BE61D9">
              <w:rPr>
                <w:rStyle w:val="apple-converted-space"/>
                <w:rFonts w:ascii="Sylfaen" w:hAnsi="Sylfaen" w:cs="Tahoma"/>
                <w:color w:val="000000"/>
                <w:sz w:val="13"/>
                <w:szCs w:val="13"/>
                <w:lang w:val="hy-AM"/>
              </w:rPr>
              <w:t> 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Տեղեկանք ՀՀ հարկային մարմինների կողմից, բյուջեի նկատմամբ պարտքերի </w:t>
            </w:r>
            <w:r w:rsidR="006A1D48"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վերաբերյալ.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Բ) Պետռեգիստրի վկայական.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Գ) Հարկային կոդ.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Դ) Կանոնադրություն.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Ե) Պետ</w:t>
            </w:r>
            <w:r w:rsidR="006A1D48"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ռեգիստրից տեղեկանք կանոնադրության վերջին փոփոխությունների և տնօրենի նշանակման վերաբերյալ.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Զ) Տեղեկանք բանկից հաշվի շարժի վերաբերյալ.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Է) Ֆինանսական հաշվետվությունների փաթեթը, հաստատված հարկային մարմինների կողմից.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  <w:t>Ը) Ընկերության կառավարման համապատասխան մարմնի որոշումից քաղվածք վարկ ստանալու վերաբերյալ: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</w:r>
            <w:r w:rsidR="006A1D48" w:rsidRPr="00BE61D9">
              <w:rPr>
                <w:rFonts w:ascii="Times Unicode" w:hAnsi="Times Unicode" w:cs="Tahoma"/>
                <w:color w:val="000000"/>
                <w:sz w:val="20"/>
                <w:szCs w:val="20"/>
                <w:lang w:val="hy-AM"/>
              </w:rPr>
              <w:t>Թ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) Սահմանափակումների վերաբերյալ տեղեկանք անշարժ գույքի պետական կադաստրի տարածքային ստորաբաժանումից.  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</w:r>
            <w:r w:rsidR="006A1D48"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Ժ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) Գույքի գնահատման եզրակացություն համապատասխան լիցենզավորում  ունեցող կազմակերպության կողմից.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br/>
            </w:r>
            <w:r w:rsidR="006A1D48"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Ի</w:t>
            </w:r>
            <w:r w:rsidRPr="00BE61D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) Ընկերության կողմից անհրաժեշտ համարվող այլ փաստաթղթեր:</w:t>
            </w:r>
          </w:p>
        </w:tc>
      </w:tr>
    </w:tbl>
    <w:p w:rsidR="008A01ED" w:rsidRPr="00BE61D9" w:rsidRDefault="00DE2D3D" w:rsidP="00DE2D3D">
      <w:pPr>
        <w:tabs>
          <w:tab w:val="left" w:pos="2515"/>
        </w:tabs>
        <w:rPr>
          <w:rFonts w:ascii="Times Unicode" w:hAnsi="Times Unicode"/>
          <w:b/>
          <w:lang w:val="hy-AM"/>
        </w:rPr>
      </w:pPr>
      <w:r w:rsidRPr="00D25B46">
        <w:rPr>
          <w:rFonts w:ascii="Times Unicode" w:hAnsi="Times Unicode"/>
          <w:b/>
          <w:lang w:val="hy-AM"/>
        </w:rPr>
        <w:t xml:space="preserve">Վարկերը ձևակերպվում են Արֆին վարկային միություն ՍՊԸ-ի գրասենյակում՝ </w:t>
      </w:r>
    </w:p>
    <w:p w:rsidR="00DE2D3D" w:rsidRPr="00B4522F" w:rsidRDefault="00DE2D3D" w:rsidP="00DE2D3D">
      <w:pPr>
        <w:tabs>
          <w:tab w:val="left" w:pos="2515"/>
        </w:tabs>
        <w:rPr>
          <w:rFonts w:ascii="Times Unicode" w:hAnsi="Times Unicode"/>
          <w:b/>
        </w:rPr>
      </w:pPr>
      <w:r w:rsidRPr="00D25B46">
        <w:rPr>
          <w:rFonts w:ascii="Times Unicode" w:hAnsi="Times Unicode"/>
          <w:b/>
          <w:lang w:val="hy-AM"/>
        </w:rPr>
        <w:t xml:space="preserve">հասցե </w:t>
      </w:r>
      <w:r w:rsidR="006A1D48">
        <w:rPr>
          <w:rFonts w:ascii="Times Unicode" w:hAnsi="Times Unicode"/>
          <w:b/>
        </w:rPr>
        <w:t xml:space="preserve"> </w:t>
      </w:r>
      <w:r w:rsidRPr="00D25B46">
        <w:rPr>
          <w:rFonts w:ascii="Times Unicode" w:hAnsi="Times Unicode"/>
          <w:b/>
          <w:lang w:val="hy-AM"/>
        </w:rPr>
        <w:t>Հանրապետության 62 ,</w:t>
      </w:r>
      <w:r w:rsidRPr="00651120">
        <w:rPr>
          <w:rFonts w:ascii="Times Unicode" w:hAnsi="Times Unicode"/>
          <w:b/>
          <w:lang w:val="hy-AM"/>
        </w:rPr>
        <w:t xml:space="preserve">  </w:t>
      </w:r>
      <w:bookmarkStart w:id="0" w:name="_GoBack"/>
      <w:bookmarkEnd w:id="0"/>
      <w:r w:rsidR="008A01ED">
        <w:rPr>
          <w:rFonts w:ascii="Times Unicode" w:hAnsi="Times Unicode"/>
          <w:b/>
          <w:lang w:val="hy-AM"/>
        </w:rPr>
        <w:t xml:space="preserve"> </w:t>
      </w:r>
      <w:r w:rsidRPr="00D25B46">
        <w:rPr>
          <w:rFonts w:ascii="Times Unicode" w:hAnsi="Times Unicode"/>
          <w:b/>
          <w:lang w:val="hy-AM"/>
        </w:rPr>
        <w:t xml:space="preserve">հեռ. 54-53-04, 54-53-07, 54-24-38 </w:t>
      </w:r>
    </w:p>
    <w:p w:rsidR="00581A96" w:rsidRPr="00581A96" w:rsidRDefault="00581A96">
      <w:pPr>
        <w:rPr>
          <w:lang w:val="hy-AM"/>
        </w:rPr>
      </w:pPr>
    </w:p>
    <w:sectPr w:rsidR="00581A96" w:rsidRPr="00581A96" w:rsidSect="00581A96">
      <w:pgSz w:w="12240" w:h="15840"/>
      <w:pgMar w:top="54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10B"/>
    <w:multiLevelType w:val="hybridMultilevel"/>
    <w:tmpl w:val="0F4E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2B4E"/>
    <w:multiLevelType w:val="hybridMultilevel"/>
    <w:tmpl w:val="FCC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FA3"/>
    <w:multiLevelType w:val="hybridMultilevel"/>
    <w:tmpl w:val="441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530C"/>
    <w:multiLevelType w:val="hybridMultilevel"/>
    <w:tmpl w:val="65C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A29E1"/>
    <w:multiLevelType w:val="hybridMultilevel"/>
    <w:tmpl w:val="89BC53E0"/>
    <w:lvl w:ilvl="0" w:tplc="346C5E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517B"/>
    <w:multiLevelType w:val="hybridMultilevel"/>
    <w:tmpl w:val="C1FA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2A4E"/>
    <w:multiLevelType w:val="hybridMultilevel"/>
    <w:tmpl w:val="3484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A96"/>
    <w:rsid w:val="0013063E"/>
    <w:rsid w:val="00164B5D"/>
    <w:rsid w:val="001E67B3"/>
    <w:rsid w:val="00247E28"/>
    <w:rsid w:val="002954C2"/>
    <w:rsid w:val="003F759D"/>
    <w:rsid w:val="00581A96"/>
    <w:rsid w:val="005B445A"/>
    <w:rsid w:val="006A1D48"/>
    <w:rsid w:val="007443FD"/>
    <w:rsid w:val="008A01ED"/>
    <w:rsid w:val="00B02BAC"/>
    <w:rsid w:val="00B4522F"/>
    <w:rsid w:val="00B53B28"/>
    <w:rsid w:val="00BE61D9"/>
    <w:rsid w:val="00CC4B2A"/>
    <w:rsid w:val="00D41B26"/>
    <w:rsid w:val="00DE2D3D"/>
    <w:rsid w:val="00E351FC"/>
    <w:rsid w:val="00E96BA4"/>
    <w:rsid w:val="00EF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A9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581A96"/>
    <w:pPr>
      <w:spacing w:after="0" w:line="240" w:lineRule="auto"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581A96"/>
    <w:rPr>
      <w:b/>
      <w:bCs/>
    </w:rPr>
  </w:style>
  <w:style w:type="paragraph" w:styleId="a7">
    <w:name w:val="Normal (Web)"/>
    <w:basedOn w:val="a"/>
    <w:uiPriority w:val="99"/>
    <w:unhideWhenUsed/>
    <w:rsid w:val="005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B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</cp:lastModifiedBy>
  <cp:revision>10</cp:revision>
  <dcterms:created xsi:type="dcterms:W3CDTF">2016-07-14T11:51:00Z</dcterms:created>
  <dcterms:modified xsi:type="dcterms:W3CDTF">2016-09-03T06:58:00Z</dcterms:modified>
</cp:coreProperties>
</file>